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Default Extension="wmf" ContentType="image/x-wmf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5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Справка педагога - психолога</w:t>
        <w:br/>
        <w:t xml:space="preserve">по результатам диагностики мотивации учения и эмоционального отношения к учению в средних и старших классах школы (Спилберг - Андреева)</w:t>
      </w:r>
    </w:p>
    <w:p>
      <w:pPr>
        <w:spacing w:before="0" w:after="15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Психологическая диагностика мотивации учения и эмоционального отношения к учению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обучающихся 9 кл. проходила 21.01.2015 г. В ней приняли участие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13 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чел. из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16 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 них девочек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4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человека и мальчиков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9 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человек.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Методика Спилберга – Андреевой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позволяет выявить уровень мотивации учения 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эмоциональное отношение к учению и получить информацию об эмоциональном самочувствии каждого ученика и класса в целом.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ходе обследования выявлено, что в основном обучающиеся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00FFFF" w:val="clear"/>
        </w:rPr>
        <w:t xml:space="preserve">имеют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00FFFF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00FFFF" w:val="clear"/>
        </w:rPr>
        <w:t xml:space="preserve">средний уровень с несколько сниженной познавательной мотивацией,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данное состояние проявилось 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7 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чел., что составляет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54 % 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т.е. это состояние доминирует у учащихся класса.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00FFFF" w:val="clear"/>
        </w:rPr>
        <w:t xml:space="preserve">Продуктивная мотивация, соответствие социальному нормативу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выявлены 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4 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чел.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 31 %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Данные обучающиеся имеют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C0C0C0" w:val="clear"/>
        </w:rPr>
        <w:t xml:space="preserve">позитивное эмоциональное отношение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 учению. Однако следует обратить внимание на то, что при данном эмоциональном отношении 1 обучающийся имеет повышенную эмоциональность на уроке, такое же состояние имеет 1 обучающийся при среднем уровне с несколько сниженной познавательной мотивацией —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2 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чел.,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15 %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C0C0C0" w:val="clear"/>
        </w:rPr>
        <w:t xml:space="preserve">Диффузное (нестабильное) эмоциональное отношение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имеют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4 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чел.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 31 % 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 них 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2 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чел.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 15 %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наблюдается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C0C0C0" w:val="clear"/>
        </w:rPr>
        <w:t xml:space="preserve">фрустрированность (трудность достижения, реализации) значимых потребностей.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00FFFF" w:val="clear"/>
        </w:rPr>
        <w:t xml:space="preserve">Сниженная мотивация, переживание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00FFFF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00FFFF" w:val="clear"/>
        </w:rPr>
        <w:t xml:space="preserve">школьной скуки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00FFFF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прослеживается 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1 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чел.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 8 %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Данная мотивация влечет за собой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C0C0C0" w:val="clear"/>
        </w:rPr>
        <w:t xml:space="preserve">отрицательное эмоциональное отношение к учению, школьную тревожность.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00FFFF" w:val="clear"/>
        </w:rPr>
        <w:t xml:space="preserve">Резко отрицательное отношение к учению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имеет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1 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чел.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 ( 8 % )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При этом он же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проявляет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C0C0C0" w:val="clear"/>
        </w:rPr>
        <w:t xml:space="preserve">диффузное (нестабильное) эмоциональное отношение при фрустрированности (трудности достижения, реализации) значимых потребностей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Среднее значение оценок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мотивации учения и эмоционального отношения к учению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 классу дают информацию об эмоциональном отношении к школе обучающихся данного класса в целом.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 основании результатов диагностирования можно выделить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3 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чел.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 23 %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имеющих комфортное состояние. В зоне дискомфорта находятся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2 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чел., 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 15 %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).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8 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 62 %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)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обучающихся класса имеют нестабильное отношение к учению на фоне ситуативных причин. Обучающиеся, у которых проявилось неблагоприятное эмоциональное состояние, нуждаются в психолого-педагогической помощи.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Учителю и психологу следует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формировать продуктивную мотивацию, соответствие социальному нормативу, создавая ситуацию успеха на уроке для каждого обучающегося класса в соответствии с индивидуальным и дифференцированным подходом к обучающимся;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повышать познавательную мотивацию, используя интерактивные технологии, нестандартный подход к обучению, интересный учебный материал;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создавать комфортные условия для общения с позиции Взрослый - Взрослый;</w:t>
      </w:r>
    </w:p>
    <w:p>
      <w:pPr>
        <w:numPr>
          <w:ilvl w:val="0"/>
          <w:numId w:val="3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работать над стабилизацией эмоционального отношения к учению, реагируя спокойно на любые учебные ситуации, используя в данных ситуациях педагогический такт.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Педагог – психолог Л.В. Бибнева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Справка по организации и проведении консультативной помощи по вопросам обучения, воспитания и развития обучающихся ( воспитанников) в 2012/ 2013 учебном году.</w:t>
      </w:r>
    </w:p>
    <w:p>
      <w:pPr>
        <w:spacing w:before="0" w:after="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Педагог- психолог ГБОУ ЦПМСС Побединская Ирина Викторовна.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Проведено консультаций детей и подростков ( в присутствии законного представителя)- 34 консультации, из них первичных- 19 консультаций.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Проведено консультаций родителей ( законных представителей)- 27 консультации, из них первичных- 20 консультаций.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Проведено консультаций педагогов и администрации образовательных учреждений – 7 консультаций, из них первичных- 7 консультаций.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Основные проблемы, заявленные в ходе консультирования это: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144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Семейные проблемы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144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Межличностные проблемы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144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Проблемы обучения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В ходе консультирования использовались следующие методы диагностико - консультативной работы: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144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Наблюдение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144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Интервью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144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Сбор анамнеза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144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Анализ продуктов деятельности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144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Проективные методики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Несуществующее животное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», 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Рисунок семьи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», 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Моя проблема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», 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Автопортрет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»,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дихотомический рисунок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Всё хорошее во мне и всё плохое во мне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»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и другие.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144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Заключение письменного контракта между ребёнком ( подростком и родителем)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144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Метод расстановки</w:t>
      </w:r>
    </w:p>
    <w:p>
      <w:pPr>
        <w:numPr>
          <w:ilvl w:val="0"/>
          <w:numId w:val="6"/>
        </w:numPr>
        <w:tabs>
          <w:tab w:val="left" w:pos="720" w:leader="none"/>
        </w:tabs>
        <w:spacing w:before="0" w:after="0" w:line="240"/>
        <w:ind w:right="0" w:left="720" w:hanging="36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На групповые занятия по программам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ДАРтС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и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«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Все цвета, кроме чёрного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»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по результатам консультирования зачислены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 7 </w:t>
      </w:r>
      <w:r>
        <w:rPr>
          <w:rFonts w:ascii="Calibri" w:hAnsi="Calibri" w:cs="Calibri" w:eastAsia="Calibri"/>
          <w:color w:val="000000"/>
          <w:spacing w:val="0"/>
          <w:position w:val="0"/>
          <w:sz w:val="22"/>
          <w:shd w:fill="FFFFFF" w:val="clear"/>
        </w:rPr>
        <w:t xml:space="preserve">детей.</w:t>
      </w:r>
    </w:p>
    <w:p>
      <w:pPr>
        <w:spacing w:before="0" w:after="0" w:line="240"/>
        <w:ind w:right="0" w:left="720" w:firstLine="0"/>
        <w:jc w:val="both"/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Педагог- психолог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                                                </w:t>
      </w:r>
      <w:r>
        <w:rPr>
          <w:rFonts w:ascii="Arial" w:hAnsi="Arial" w:cs="Arial" w:eastAsia="Arial"/>
          <w:color w:val="000000"/>
          <w:spacing w:val="0"/>
          <w:position w:val="0"/>
          <w:sz w:val="22"/>
          <w:shd w:fill="FFFFFF" w:val="clear"/>
        </w:rPr>
        <w:t xml:space="preserve">Побединская И.В.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Справка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по результатам диагностики учащихся 7 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«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Б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» 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класса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Тест школьной тревожности Филлипса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Сентябрь 2012 г.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Классный руководитель: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Цель: Изучение уровня и характера тревожности, связанной со школой.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В диагностике участвовало: 23 чел.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По результатам диагностики общая школьная тревожность у большинства учащихся класса (13 чел.), участвовавших в исследовании, в пределах нормы. У 8 человек уровень общей тревожности повышен. В классе есть 2 учащихся с высоким уровнем тревоги, связанной со школьной жизнью.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У учащихся класса выражен страх ситуации проверки знаний (присутствует у 7 учащихся класса), причем, у 4 учащихся показатель этого страха очень высок. Такие учащиеся переживают тревогу и негативно относятся к ситуациям проверки знаний (особенно публичной), сильно переживают, получив плохую оценку.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Показатель страха самовыражения выше нормы у 7 учащихся, у 4 учащихся показатель этого страха очень высок. У этих учащихся негативные эмоции возникают в ситуациях, сопряженных с необходимостью самораскрытия, предъявления себя другим, демонстрации своих возможностей. Наличие этого страха может быть связано с негативным опытом, полученным ранее или получаемом периодически при предъявлении себя другим людям, с получением негативных публичных оценок.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Рекомендации: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ü  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Педагогу-психологу – провести индивидуальные беседы с учащимися, имеющими очень высокий показатель по шкале 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Общая школьная тревожность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» 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и другим шкалам, для выяснения возможных причин.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ü  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Педагогам - представлять ситуации проверки знаний как возможность проявить себя. Предоставлять возможность высказывать собственное мнение. Терпеливо аргументировать возможные неточности в суждениях учащихся.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ü  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Не давать резкую критику неуспевающим учащимся в присутствии одноклассников.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ü  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По возможности не осуждать неуспевающих учащихся за наличие плохих оценок, а индивидуально подходить к решению проблем успеваемости каждого ученика.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ü  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Поощрять инициативу учащихся.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Педагог-психолог __________________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Справка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по результатам диагностики учащихся 7 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«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Б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» 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класса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Диагностика мотивации учения и эмоционального отношения к учению в средних и старших классах школы методика (модификация )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743399"/>
          <w:spacing w:val="0"/>
          <w:position w:val="0"/>
          <w:sz w:val="21"/>
          <w:shd w:fill="FFFFFF" w:val="clear"/>
        </w:rPr>
        <w:t xml:space="preserve">сентябрь 2012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Классный руководитель: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Цель: Изучение эмоционального отношения учащихся к процессу обучения, диагностика уровня учебной мотивации, выявление учащихся с негативным отношением к обучению.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В диагностике участвовало: 23 чел.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По результатам диагностики у большинства учащихся класса (44% - 10 чел.), принявших участие в исследовании преобладает продуктивная мотивация, позитивное отношение к учению. Они выполняют задания, интересуются отдельными предметами, комфортно чувствуют себя в школе, стараются получать хорошие оценки.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У 26% (6 чел.) учащихся средней уровень учебной мотивации с несколько сниженной познавательной мотивацией. Эти учащиеся ходят в школу, выполняют требования педагогов, но редко задают дополнительные вопросы, пытаются найти дополнительную информацию, проявляют интерес к школьным предметам.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У 17% учащихся (4 чел.) снижена учебная мотивация, они переживают состояние 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«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школьной скуки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», 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отрицательное эмоциональное отношение к обучению. Эти учащиеся не стремятся получать хорошие оценки и повышать уровень знаний.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У одного учащегося класса сформировано резко отрицательное отношение к учению. Он не комфортно чувствует себя на уроках, не получает удовольствия от процесса обучения, не стремится узнавать новое.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У двух учащихся класса сформирована продуктивная мотивация с выраженным преобладанием познавательной мотивации учения и положительным эмоциональным отношением к нему.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В виде диаграммы результаты диагностики учащихся класса можно представить следующим образом: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object w:dxaOrig="5309" w:dyaOrig="4212">
          <v:rect xmlns:o="urn:schemas-microsoft-com:office:office" xmlns:v="urn:schemas-microsoft-com:vml" id="rectole0000000000" style="width:265.450000pt;height:210.6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Рекомендации: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Для повышения уровня учебной мотивации у учащихся класса можно рекомендовать: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- 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педагогу-психологу – провести индивидуальные беседы с учащимися, с низким уровнем мотивации, для выяснения возможных причин;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- 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педагогам – в процессе обучения учитывать возрастные психологические особенности учащихся (смена ведущей деятельности с учения на общение), организовывать на уроках дискуссии, групповые формы работы, на ряду с общими, давать индивидуальные задания, учитывающие уровень подготовки конкретного ученика, по возможности обсуждать проблемы успеваемости и поведения учащихся индивидуально, а не при всем классе.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Педагог-психолог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Справка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по результатам диагностики учащихся 7 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«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Б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» 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класса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Анкета 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«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Отношение к предмету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FFFFFF" w:val="clear"/>
        </w:rPr>
        <w:t xml:space="preserve">сентябрь 2012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Классный руководитель: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Цель: Выявление интересов учащихся к предметам школьной программы и эмоционального отношения к учителям, работающим в классе.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В диагностике участвовало: 20 чел.</w:t>
      </w:r>
    </w:p>
    <w:tbl>
      <w:tblPr/>
      <w:tblGrid>
        <w:gridCol w:w="1762"/>
        <w:gridCol w:w="1475"/>
        <w:gridCol w:w="1501"/>
        <w:gridCol w:w="1611"/>
        <w:gridCol w:w="1611"/>
        <w:gridCol w:w="1611"/>
      </w:tblGrid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0" w:after="30" w:line="240"/>
              <w:ind w:right="30" w:left="3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475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Кол-во учащихся класса, проявляющих интерес к предмету</w:t>
            </w:r>
          </w:p>
        </w:tc>
        <w:tc>
          <w:tcPr>
            <w:tcW w:w="1501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Кол-во учащихся класса, интересам которых предмет не соответствует</w:t>
            </w:r>
          </w:p>
        </w:tc>
        <w:tc>
          <w:tcPr>
            <w:tcW w:w="1611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Кол-во учащихся класса, с негативным отношением к учителю, преподающему предмет</w:t>
            </w:r>
          </w:p>
        </w:tc>
        <w:tc>
          <w:tcPr>
            <w:tcW w:w="1611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Кол-во учащихся класса, с нейтральным отношением к учителю, преподающему предмет</w:t>
            </w:r>
          </w:p>
        </w:tc>
        <w:tc>
          <w:tcPr>
            <w:tcW w:w="1611" w:type="dxa"/>
            <w:tcBorders>
              <w:top w:val="single" w:color="000000" w:sz="8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Кол-во учащихся класса, с позитивным отношением к учителю, преподающему предмет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Литература</w:t>
            </w:r>
          </w:p>
        </w:tc>
        <w:tc>
          <w:tcPr>
            <w:tcW w:w="147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  <w:tc>
          <w:tcPr>
            <w:tcW w:w="15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Русский язык</w:t>
            </w:r>
          </w:p>
        </w:tc>
        <w:tc>
          <w:tcPr>
            <w:tcW w:w="147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15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Алгебра</w:t>
            </w:r>
          </w:p>
        </w:tc>
        <w:tc>
          <w:tcPr>
            <w:tcW w:w="147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5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Геометрия</w:t>
            </w:r>
          </w:p>
        </w:tc>
        <w:tc>
          <w:tcPr>
            <w:tcW w:w="147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5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Англ. Яз.</w:t>
            </w:r>
          </w:p>
        </w:tc>
        <w:tc>
          <w:tcPr>
            <w:tcW w:w="147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5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Немецкий яз.</w:t>
            </w:r>
          </w:p>
        </w:tc>
        <w:tc>
          <w:tcPr>
            <w:tcW w:w="147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5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История</w:t>
            </w:r>
          </w:p>
        </w:tc>
        <w:tc>
          <w:tcPr>
            <w:tcW w:w="147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5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Обществознание</w:t>
            </w:r>
          </w:p>
        </w:tc>
        <w:tc>
          <w:tcPr>
            <w:tcW w:w="147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  <w:tc>
          <w:tcPr>
            <w:tcW w:w="15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9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Биология</w:t>
            </w:r>
          </w:p>
        </w:tc>
        <w:tc>
          <w:tcPr>
            <w:tcW w:w="147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  <w:tc>
          <w:tcPr>
            <w:tcW w:w="15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География</w:t>
            </w:r>
          </w:p>
        </w:tc>
        <w:tc>
          <w:tcPr>
            <w:tcW w:w="147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5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17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Химия</w:t>
            </w:r>
          </w:p>
        </w:tc>
        <w:tc>
          <w:tcPr>
            <w:tcW w:w="147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  <w:tc>
          <w:tcPr>
            <w:tcW w:w="15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Физика</w:t>
            </w:r>
          </w:p>
        </w:tc>
        <w:tc>
          <w:tcPr>
            <w:tcW w:w="147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20</w:t>
            </w:r>
          </w:p>
        </w:tc>
        <w:tc>
          <w:tcPr>
            <w:tcW w:w="15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Труд</w:t>
            </w:r>
          </w:p>
        </w:tc>
        <w:tc>
          <w:tcPr>
            <w:tcW w:w="147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5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3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11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Ф-ра</w:t>
            </w:r>
          </w:p>
        </w:tc>
        <w:tc>
          <w:tcPr>
            <w:tcW w:w="147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14</w:t>
            </w:r>
          </w:p>
        </w:tc>
        <w:tc>
          <w:tcPr>
            <w:tcW w:w="15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6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0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19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Музыка</w:t>
            </w:r>
          </w:p>
        </w:tc>
        <w:tc>
          <w:tcPr>
            <w:tcW w:w="147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5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2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Информатика</w:t>
            </w:r>
          </w:p>
        </w:tc>
        <w:tc>
          <w:tcPr>
            <w:tcW w:w="147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  <w:tc>
          <w:tcPr>
            <w:tcW w:w="15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5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18</w:t>
            </w:r>
          </w:p>
        </w:tc>
      </w:tr>
      <w:tr>
        <w:trPr>
          <w:trHeight w:val="1" w:hRule="atLeast"/>
          <w:jc w:val="left"/>
        </w:trPr>
        <w:tc>
          <w:tcPr>
            <w:tcW w:w="1762" w:type="dxa"/>
            <w:tcBorders>
              <w:top w:val="single" w:color="000000" w:sz="0"/>
              <w:left w:val="single" w:color="000000" w:sz="8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ИЗО</w:t>
            </w:r>
          </w:p>
        </w:tc>
        <w:tc>
          <w:tcPr>
            <w:tcW w:w="1475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7</w:t>
            </w:r>
          </w:p>
        </w:tc>
        <w:tc>
          <w:tcPr>
            <w:tcW w:w="150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13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4</w:t>
            </w:r>
          </w:p>
        </w:tc>
        <w:tc>
          <w:tcPr>
            <w:tcW w:w="1611" w:type="dxa"/>
            <w:tcBorders>
              <w:top w:val="single" w:color="000000" w:sz="0"/>
              <w:left w:val="single" w:color="000000" w:sz="0"/>
              <w:bottom w:val="single" w:color="000000" w:sz="8"/>
              <w:right w:val="single" w:color="000000" w:sz="8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375" w:after="450" w:line="240"/>
              <w:ind w:right="30" w:left="3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Arial" w:hAnsi="Arial" w:cs="Arial" w:eastAsia="Arial"/>
                <w:color w:val="000000"/>
                <w:spacing w:val="0"/>
                <w:position w:val="0"/>
                <w:sz w:val="24"/>
                <w:shd w:fill="auto" w:val="clear"/>
              </w:rPr>
              <w:t xml:space="preserve">15</w:t>
            </w:r>
          </w:p>
        </w:tc>
      </w:tr>
    </w:tbl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Таблица 1 Предметы, соответствующие интересам учащихся класса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object w:dxaOrig="7469" w:dyaOrig="4445">
          <v:rect xmlns:o="urn:schemas-microsoft-com:office:office" xmlns:v="urn:schemas-microsoft-com:vml" id="rectole0000000001" style="width:373.450000pt;height:222.25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Из диаграммы видно, что наибольшее количество учащихся класса, принявших участие в диагностике, проявляют интерес к следующим предметам: физика,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 </w:t>
      </w:r>
      <w:r>
        <w:rPr>
          <w:rFonts w:ascii="Arial" w:hAnsi="Arial" w:cs="Arial" w:eastAsia="Arial"/>
          <w:color w:val="743399"/>
          <w:spacing w:val="0"/>
          <w:position w:val="0"/>
          <w:sz w:val="21"/>
          <w:shd w:fill="FFFFFF" w:val="clear"/>
        </w:rPr>
        <w:t xml:space="preserve">русский язык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, химия и литература. Наименьшее количество учащихся интересуются ИЗО, трудом и музыкой.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Из таблицы видно, что у большинства учащихся сложились позитивные отношения с учителями, работающими в классе (т. е. учащимся нравится учитель как педагог и как человек, довольны отношением учителя к себе, считают, что знания оцениваются справидливо). Однако у некоторых учащихся класса сложились напряженные отношения с учителем музыки. В классе есть 3 учащихся, у которых, возможно, имеются трудности в общении с учителями.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Рекомендации: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Педагогу-психологу – провести индивидуальные беседы с учащимися, у которых возможно наличие трудностей в общении с учителями, с целью выявления возможных причин.</w:t>
      </w:r>
    </w:p>
    <w:p>
      <w:pPr>
        <w:spacing w:before="375" w:after="4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FFFFFF" w:val="clear"/>
        </w:rPr>
        <w:t xml:space="preserve">Педагог-психолог</w:t>
      </w:r>
    </w:p>
    <w:p>
      <w:pPr>
        <w:spacing w:before="0" w:after="15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Опросник суицидального риска</w:t>
        <w:br/>
        <w:t xml:space="preserve">модификация Т.Н. Разуваевой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Цель: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экспресс-диагностика суицидального риска; выявление уровня сформированности суицидальных намерений с целью предупреждения серьезных попыток самоубийства. Предназначена для учащихся 8-11 класса. Возможно индивидуальное и групповое тестирование.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Инструкция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: Я буду зачитывать утверждения, а Вы в бланке для ответов ставить в случае согласия с утверждением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«+»,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случае несогласия с утверждением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«-».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 все чувствуете острее, чем большинство людей.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Вас часто одолевают мрачные мысли.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Теперь Вы уже не надеетесь добиться желаемого положения в жизни.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случае неудачи Вам трудно начать новое дело.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Вам определенно не везет в жизни.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Учиться Вам стало труднее, чем раньше.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Большинство людей довольны жизнью больше, чем Вы.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 считаете, что смерть является искуплением грехов.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Только зрелый человек может принять решение уйти из жизни.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Временами у Вас бывают приступы неудержимого смеха или плача.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Обычно Вы осторожны с людьми, которые относятся к Вам дружелюбнее, чем Вы ожидали.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 считаете себя обреченным человеком.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Мало кто искренне пытается помочь другим, если это связано с неудобствами.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У Вас такое впечатление, что Вас никто не понимает.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Человек, который вводит других в соблазн, оставляя без присмотра ценное имущество, виноват примерно столько же, сколько и тот, кто это имущество похищает.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Вашей жизни не было таких неудач, когда казалось, что все кончено.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Обычно Вы удовлетворены своей судьбой.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 считаете, что всегда нужно вовремя поставить точку.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Вашей жизни есть люди, привязанность к которым может очень повлиять на Ваши решения и даже изменить их.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Когда Вас обижают, Вы стремитесь во что бы то ни стало доказать обидчику, что он поступил несправедливо.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Часто Вы так переживаете, что это мешает Вам говорить.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Вам часто кажется, что обстоятельства, в которых Вы оказались, отличаются особой несправедливостью.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Иногда Вам кажется, что Вы вдруг сделали что-то скверное или даже хуже.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Будущее представляется Вам довольно беспросветным.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Большинство людей способны добиваться выгоды не совсем честным путем.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Будущее слишком расплывчато, чтобы строить серьезные планы.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Мало кому в жизни пришлось испытать то, что пережили недавно Вы.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 склонны так остро переживать неприятности, что не можете выкинуть мысли об этом из головы.</w:t>
      </w:r>
    </w:p>
    <w:p>
      <w:pPr>
        <w:numPr>
          <w:ilvl w:val="0"/>
          <w:numId w:val="65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Часто Вы действуете необдуманно, повинуясь первому порыву.</w:t>
      </w:r>
    </w:p>
    <w:p>
      <w:pPr>
        <w:spacing w:before="0" w:after="15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Обработка результатов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br/>
      </w:r>
      <w:r>
        <w:object w:dxaOrig="540" w:dyaOrig="197">
          <v:rect xmlns:o="urn:schemas-microsoft-com:office:office" xmlns:v="urn:schemas-microsoft-com:vml" id="rectole0000000002" style="width:27.000000pt;height:9.850000pt" o:preferrelative="t" o:ole="">
            <o:lock v:ext="edit"/>
            <v:imagedata xmlns:r="http://schemas.openxmlformats.org/officeDocument/2006/relationships" r:id="docRId5" o:title=""/>
          </v:rect>
          <o:OLEObject xmlns:r="http://schemas.openxmlformats.org/officeDocument/2006/relationships" xmlns:o="urn:schemas-microsoft-com:office:office" Type="Embed" ProgID="StaticMetafile" DrawAspect="Content" ObjectID="0000000002" ShapeID="rectole0000000002" r:id="docRId4"/>
        </w:objec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По каждому субшкальному диагностическому концепту подсчитывается сумма положительных ответов. Полученный балл уравнивается в значениях с учетом индекса (см. Таблицу №1). Делается вывод об уровне сформированности суицидальных намерений и конкретных факторах суицидального риска.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15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Таблица №1</w:t>
      </w:r>
    </w:p>
    <w:p>
      <w:pPr>
        <w:spacing w:before="0" w:after="15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Содержание субшкальных диагностических концептов</w:t>
      </w:r>
    </w:p>
    <w:p>
      <w:pPr>
        <w:numPr>
          <w:ilvl w:val="0"/>
          <w:numId w:val="70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Демонстративность.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Желание привлечь внимание окружающих к своим несчастьям, добиться сочувствия и понимания. Оцениваемое из внешней позиции порой как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шантаж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истероидное выпячивание трудностей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демонстративное суицидальное поведение переживается изнутри как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крик о помощи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Наиболее суицидоопасно сочетание с эмоциональной регидностью, когда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диалог с миром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может зайти слишком далеко.</w:t>
      </w:r>
    </w:p>
    <w:p>
      <w:pPr>
        <w:numPr>
          <w:ilvl w:val="0"/>
          <w:numId w:val="70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Аффективность.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Доминирование эмоций над интеллектуальным контролем в оценке ситуации. Готовность реагировать на психотравмирующую ситуацию непосредственно эмоционально. В крайнем варианте - аффективная блокада интеллекта.</w:t>
      </w:r>
    </w:p>
    <w:p>
      <w:pPr>
        <w:numPr>
          <w:ilvl w:val="0"/>
          <w:numId w:val="70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Уникальность.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Восприятие себя, ситуации, и, возможно, собственной жизни в целом как явления исключительного, не похожего на другие, и, следовательно, подразумевающего исключительные варианты выхода, в частности, суицид. Тесно связана с феноменом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непроницаемости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для опыта, т.е. с недостаточным умением использовать свой и чужой жизненный опыт.</w:t>
      </w:r>
    </w:p>
    <w:p>
      <w:pPr>
        <w:numPr>
          <w:ilvl w:val="0"/>
          <w:numId w:val="70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Несостоятельность.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Отрицательная концепция собственной личности. Представление о своей несостоятельности, некомпетентности, ненужности,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выключенности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 мира. Данная субшкала может быть связана с представлениями о физической, интеллектуальной, моральной и прочей несостоятельностью. Несостоятельность выражает интрапунитивный радикал. Формула внешнего монолога 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Я плох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numPr>
          <w:ilvl w:val="0"/>
          <w:numId w:val="70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Социальный пессимизм.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Отрицательная концепция окружающего мира. Восприятие мира как враждебного, не соответствующего представлениям о нормальных или удовлетворительных для человека отношениях с окружающими. Социальный пессимизм тесно связан с экстрапунитивным стилем каузальной атрибуции. В отсутствие Я наблюдается экстрапунитивность по формуле внутреннего монолога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Вы все недостойны меня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numPr>
          <w:ilvl w:val="0"/>
          <w:numId w:val="70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Слом культурных барьеров.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Культ самоубийства. Поиск культурных ценностей и нормативов, оправдывающих суицидальное поведение или даже делающих его в какой-то мере привлекательным. Заимствование суицидальных моделей поведения из литературы и кино. В крайнем варианте - инверсия ценности смерти и жизни. В отсутствие выраженных пиков по другим шкалам это может говорить только об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экзистенции смерти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Одна из возможных внутренних причин культа смерти - доведенная до патологического максимализма смысловая установка на самодеятельность: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Вершитель собственной судьбы сам определяет конец своего существования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».</w:t>
      </w:r>
    </w:p>
    <w:p>
      <w:pPr>
        <w:numPr>
          <w:ilvl w:val="0"/>
          <w:numId w:val="70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Максимализм.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Инфантильный максимализм ценностных установок. Распространение на все сферы жизни содержания локального конфликта в какой-то одной жизненной сфере. Невозможность компенсации. Аффективная фиксация на неудачах.</w:t>
      </w:r>
    </w:p>
    <w:p>
      <w:pPr>
        <w:numPr>
          <w:ilvl w:val="0"/>
          <w:numId w:val="70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Временная перспектива.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Невозможность конструктивного планирования будущего. Это может быть следствием сильной погруженности в настоящую ситуацию, трансформацией чувства неразрешимости текущей проблемы в глобальный страх неудач и поражений в будущем.</w:t>
      </w:r>
    </w:p>
    <w:p>
      <w:pPr>
        <w:numPr>
          <w:ilvl w:val="0"/>
          <w:numId w:val="70"/>
        </w:numPr>
        <w:tabs>
          <w:tab w:val="left" w:pos="720" w:leader="none"/>
        </w:tabs>
        <w:spacing w:before="0" w:after="150" w:line="240"/>
        <w:ind w:right="0" w:left="0" w:hanging="36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Атисуицидальный фактор.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Даже при высокой выраженности всех остальных факторов есть фактор, который снимает глобальный суицидальный риск. Это глубокое понимание чувства ответственности за близких, чувство долга. Это представление о греховности самоубийства, антиэстетичности его, боязнь боли и физических страданий. В определенном смысле это показатель наличного уровня предпосылок для психокоррекционной работы.</w:t>
      </w:r>
    </w:p>
    <w:p>
      <w:pPr>
        <w:spacing w:before="0" w:after="15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Бланк ответов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Тема: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Что такое страх.</w:t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Класс: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1</w:t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Цель: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предупреждение и коррекция страхов,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пополнить лексический запас слов; развивать внимание, память, координацию движений, мелкую моторику; воспитывать уважительное отношение к окружающим.</w:t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Оборудование: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мяч, карандаши, листы бумаги.</w:t>
      </w:r>
    </w:p>
    <w:p>
      <w:pPr>
        <w:spacing w:before="0" w:after="150" w:line="240"/>
        <w:ind w:right="0" w:left="0" w:firstLine="0"/>
        <w:jc w:val="center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Ход занятия.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Приветствие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.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''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Ласковые имена''.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Дети передают мяч по кругу. Ребёнок, передающий мяч, называет того, кому передаёт его, ласково по имени.</w:t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Разминка.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Helvetica" w:hAnsi="Helvetica" w:cs="Helvetica" w:eastAsia="Helvetica"/>
          <w:color w:val="777777"/>
          <w:spacing w:val="0"/>
          <w:position w:val="0"/>
          <w:sz w:val="21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Игра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Фруктовый салат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».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Рассчитаться на яблоки, бананы, апельсины и мандарины. По команде поменяться местами, например, бананам. Пока все меняются, ведущий занимает чьё-то место, а</w:t>
        <w:br/>
        <w:t xml:space="preserve">тот человек становится вожатым.</w:t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Основная часть.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3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.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Беседа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.</w:t>
        <w:br/>
        <w:t xml:space="preserve">Что такое страх. Когда дети испытывают трах</w:t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4.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Упражнение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Закончи предложение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».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Люди боятся…</w:t>
        <w:br/>
        <w:t xml:space="preserve">Мама боится…</w:t>
        <w:br/>
        <w:t xml:space="preserve">Учитель боится…</w:t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5.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Упражнения для профилактики нарушений зрения.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Ослик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»</w:t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.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Упражнение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Мой страх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»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Передавая мяч по кругу дети говорят о своих страхах.</w:t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7.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Упражнение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«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Избавимся от страха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Ребята наши чувства рождаются в душе. А живут они в сердце – это домик чувств. Там живут разные чувства радость. Печаль, грусть, страх. Дотроньтесь ладошкой до домика чувств, до сердца и вспомните свой страх. Заберите его из домика и нарисуйте его на листочке. Теперь сверните его и порвите.</w:t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8.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Рисование.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br/>
        <w:t xml:space="preserve">Дети рисуют.</w:t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9.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Пальчиковая гимнастика.</w:t>
      </w:r>
      <w:r>
        <w:rPr>
          <w:rFonts w:ascii="Arial" w:hAnsi="Arial" w:cs="Arial" w:eastAsia="Arial"/>
          <w:b/>
          <w:color w:val="000000"/>
          <w:spacing w:val="0"/>
          <w:position w:val="0"/>
          <w:sz w:val="21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Гномик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»</w:t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10.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Упражнение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Слушай команду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».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Дети выполняют команды: встать, помахать правой рукой, присесть два раза, потянуться к солнышку, промаршировать на месте, подарить улыбку друг другу.</w:t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11.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Упражнение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Телесный контакт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»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Дети медленно ходят по всему пространству кабинета, пока не услышат хлопки в ладоши. После этого проговаривается инструкция. Так повторяется несколько раз.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u w:val="single"/>
          <w:shd w:fill="auto" w:val="clear"/>
        </w:rPr>
        <w:t xml:space="preserve">Инструкция: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-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посмотрите в глаза, человеку, стоящему напротив вас;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улыбнитесь человеку, стоящему напротив вас;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пожмите руку человеку, стоящему напротив вас;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обопритесь о спину человека, стоящего напротив вас;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-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обнимите человека, стоящего напротив вас.</w:t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Заключительная часть.</w:t>
      </w: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br/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12.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1"/>
          <w:shd w:fill="auto" w:val="clear"/>
        </w:rPr>
        <w:t xml:space="preserve">Рефлексия.</w:t>
        <w:br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1"/>
          <w:shd w:fill="auto" w:val="clear"/>
        </w:rPr>
        <w:t xml:space="preserve">Дети по кругу передают мяч и рассказывают, что больше всего понравилось на занятии.</w:t>
      </w:r>
    </w:p>
    <w:p>
      <w:pPr>
        <w:spacing w:before="0" w:after="150" w:line="24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1"/>
          <w:shd w:fill="auto" w:val="clear"/>
        </w:rPr>
        <w:br/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num w:numId="3">
    <w:abstractNumId w:val="18"/>
  </w:num>
  <w:num w:numId="6">
    <w:abstractNumId w:val="12"/>
  </w:num>
  <w:num w:numId="65">
    <w:abstractNumId w:val="6"/>
  </w:num>
  <w:num w:numId="7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media/image2.wmf" Id="docRId5" Type="http://schemas.openxmlformats.org/officeDocument/2006/relationships/image"/><Relationship Target="styles.xml" Id="docRId7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embeddings/oleObject2.bin" Id="docRId4" Type="http://schemas.openxmlformats.org/officeDocument/2006/relationships/oleObject"/><Relationship Target="numbering.xml" Id="docRId6" Type="http://schemas.openxmlformats.org/officeDocument/2006/relationships/numbering"/></Relationships>
</file>